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0CC9" w14:textId="2B41E86D" w:rsidR="006C0BD0" w:rsidRDefault="000725DB" w:rsidP="00412BE2">
      <w:pPr>
        <w:spacing w:line="360" w:lineRule="auto"/>
        <w:jc w:val="both"/>
        <w:rPr>
          <w:rFonts w:ascii="Arial" w:hAnsi="Arial" w:cs="Arial"/>
          <w:b/>
          <w:sz w:val="20"/>
          <w:szCs w:val="20"/>
        </w:rPr>
      </w:pPr>
      <w:r>
        <w:rPr>
          <w:rFonts w:ascii="Arial" w:hAnsi="Arial" w:cs="Arial"/>
          <w:b/>
          <w:sz w:val="20"/>
          <w:szCs w:val="20"/>
        </w:rPr>
        <w:t>Plan de mejora</w:t>
      </w:r>
    </w:p>
    <w:p w14:paraId="7C4C3F47" w14:textId="77777777" w:rsidR="002868F9" w:rsidRDefault="002868F9" w:rsidP="00412BE2">
      <w:pPr>
        <w:pStyle w:val="Prrafodelista"/>
        <w:numPr>
          <w:ilvl w:val="0"/>
          <w:numId w:val="1"/>
        </w:numPr>
        <w:spacing w:line="360" w:lineRule="auto"/>
        <w:jc w:val="both"/>
        <w:rPr>
          <w:rFonts w:ascii="Arial" w:hAnsi="Arial" w:cs="Arial"/>
          <w:sz w:val="20"/>
          <w:szCs w:val="20"/>
        </w:rPr>
      </w:pPr>
      <w:r>
        <w:rPr>
          <w:rFonts w:ascii="Arial" w:hAnsi="Arial" w:cs="Arial"/>
          <w:sz w:val="20"/>
          <w:szCs w:val="20"/>
        </w:rPr>
        <w:t>Núcleo académico básico (NAB)</w:t>
      </w:r>
    </w:p>
    <w:p w14:paraId="142472D8" w14:textId="77777777" w:rsidR="002868F9" w:rsidRDefault="002868F9" w:rsidP="00412BE2">
      <w:pPr>
        <w:spacing w:line="360" w:lineRule="auto"/>
        <w:jc w:val="both"/>
        <w:rPr>
          <w:rFonts w:ascii="Arial" w:hAnsi="Arial" w:cs="Arial"/>
          <w:sz w:val="20"/>
          <w:szCs w:val="20"/>
        </w:rPr>
      </w:pPr>
      <w:r>
        <w:rPr>
          <w:rFonts w:ascii="Arial" w:hAnsi="Arial" w:cs="Arial"/>
          <w:sz w:val="20"/>
          <w:szCs w:val="20"/>
        </w:rPr>
        <w:t xml:space="preserve">El programa de Doctorado en Ciencias en Ingeniería Bioquímica, ofertado por el Tecnológico Nacional de México en el Instituto Tecnológico de Durango, se encuentra conformado por 14 profesores investigadores de tiempo completo, siendo el programa integrado con la Maestría en Ciencias en Ingeniería Bioquímica, cumpliendo de esta forma con el número de integrantes del núcleo básico. De los 14 integrantes del NAB, solo 1 de ellos obtuvo su máximo grado de estudios en la misma institución (JBPL). Los integrantes del NAB obtuvieron su máximo grado de estudios en diferentes instituciones, como la UANL (3 PTC), UAQ (2 PTC), UA de C (1 PTC), CINVESTAV (1 PTC), IPICYT (1 PTC), U de </w:t>
      </w:r>
      <w:proofErr w:type="spellStart"/>
      <w:r>
        <w:rPr>
          <w:rFonts w:ascii="Arial" w:hAnsi="Arial" w:cs="Arial"/>
          <w:sz w:val="20"/>
          <w:szCs w:val="20"/>
        </w:rPr>
        <w:t>Gto</w:t>
      </w:r>
      <w:proofErr w:type="spellEnd"/>
      <w:r>
        <w:rPr>
          <w:rFonts w:ascii="Arial" w:hAnsi="Arial" w:cs="Arial"/>
          <w:sz w:val="20"/>
          <w:szCs w:val="20"/>
        </w:rPr>
        <w:t xml:space="preserve"> (1 PTC), Cornell </w:t>
      </w:r>
      <w:proofErr w:type="spellStart"/>
      <w:r>
        <w:rPr>
          <w:rFonts w:ascii="Arial" w:hAnsi="Arial" w:cs="Arial"/>
          <w:sz w:val="20"/>
          <w:szCs w:val="20"/>
        </w:rPr>
        <w:t>University</w:t>
      </w:r>
      <w:proofErr w:type="spellEnd"/>
      <w:r>
        <w:rPr>
          <w:rFonts w:ascii="Arial" w:hAnsi="Arial" w:cs="Arial"/>
          <w:sz w:val="20"/>
          <w:szCs w:val="20"/>
        </w:rPr>
        <w:t xml:space="preserve"> (1 PTC), Reading </w:t>
      </w:r>
      <w:proofErr w:type="spellStart"/>
      <w:r>
        <w:rPr>
          <w:rFonts w:ascii="Arial" w:hAnsi="Arial" w:cs="Arial"/>
          <w:sz w:val="20"/>
          <w:szCs w:val="20"/>
        </w:rPr>
        <w:t>University</w:t>
      </w:r>
      <w:proofErr w:type="spellEnd"/>
      <w:r>
        <w:rPr>
          <w:rFonts w:ascii="Arial" w:hAnsi="Arial" w:cs="Arial"/>
          <w:sz w:val="20"/>
          <w:szCs w:val="20"/>
        </w:rPr>
        <w:t xml:space="preserve"> (1 PTC), </w:t>
      </w:r>
      <w:proofErr w:type="spellStart"/>
      <w:r>
        <w:rPr>
          <w:rFonts w:ascii="Arial" w:hAnsi="Arial" w:cs="Arial"/>
          <w:sz w:val="20"/>
          <w:szCs w:val="20"/>
        </w:rPr>
        <w:t>Oregon</w:t>
      </w:r>
      <w:proofErr w:type="spellEnd"/>
      <w:r>
        <w:rPr>
          <w:rFonts w:ascii="Arial" w:hAnsi="Arial" w:cs="Arial"/>
          <w:sz w:val="20"/>
          <w:szCs w:val="20"/>
        </w:rPr>
        <w:t xml:space="preserve"> </w:t>
      </w:r>
      <w:proofErr w:type="spellStart"/>
      <w:r>
        <w:rPr>
          <w:rFonts w:ascii="Arial" w:hAnsi="Arial" w:cs="Arial"/>
          <w:sz w:val="20"/>
          <w:szCs w:val="20"/>
        </w:rPr>
        <w:t>State</w:t>
      </w:r>
      <w:proofErr w:type="spellEnd"/>
      <w:r>
        <w:rPr>
          <w:rFonts w:ascii="Arial" w:hAnsi="Arial" w:cs="Arial"/>
          <w:sz w:val="20"/>
          <w:szCs w:val="20"/>
        </w:rPr>
        <w:t xml:space="preserve"> </w:t>
      </w:r>
      <w:proofErr w:type="spellStart"/>
      <w:r>
        <w:rPr>
          <w:rFonts w:ascii="Arial" w:hAnsi="Arial" w:cs="Arial"/>
          <w:sz w:val="20"/>
          <w:szCs w:val="20"/>
        </w:rPr>
        <w:t>University</w:t>
      </w:r>
      <w:proofErr w:type="spellEnd"/>
      <w:r>
        <w:rPr>
          <w:rFonts w:ascii="Arial" w:hAnsi="Arial" w:cs="Arial"/>
          <w:sz w:val="20"/>
          <w:szCs w:val="20"/>
        </w:rPr>
        <w:t xml:space="preserve"> (1 PTC), UAM-I (1 PTC).</w:t>
      </w:r>
    </w:p>
    <w:p w14:paraId="5556793F" w14:textId="77777777" w:rsidR="002868F9" w:rsidRDefault="002868F9" w:rsidP="00412BE2">
      <w:pPr>
        <w:spacing w:line="360" w:lineRule="auto"/>
        <w:jc w:val="both"/>
        <w:rPr>
          <w:rFonts w:ascii="Arial" w:hAnsi="Arial" w:cs="Arial"/>
          <w:sz w:val="20"/>
          <w:szCs w:val="20"/>
        </w:rPr>
      </w:pPr>
      <w:r>
        <w:rPr>
          <w:rFonts w:ascii="Arial" w:hAnsi="Arial" w:cs="Arial"/>
          <w:sz w:val="20"/>
          <w:szCs w:val="20"/>
        </w:rPr>
        <w:t>Los 14 profesores miembros del NAB, cuentan con grado de Doctor, 12 de ellos, pertenecen al SNI, es decir aproximadamente el 85.71% del NAB, los niveles en los que se encuentran son I, II y III. 3 PTC son Nivel II (21.42%), 9 son nivel I (64.28%).</w:t>
      </w:r>
    </w:p>
    <w:p w14:paraId="7176493D" w14:textId="77777777" w:rsidR="002868F9" w:rsidRDefault="002868F9" w:rsidP="00412BE2">
      <w:pPr>
        <w:spacing w:line="360" w:lineRule="auto"/>
        <w:jc w:val="both"/>
        <w:rPr>
          <w:rFonts w:ascii="Arial" w:hAnsi="Arial" w:cs="Arial"/>
          <w:sz w:val="20"/>
          <w:szCs w:val="20"/>
        </w:rPr>
      </w:pPr>
      <w:r>
        <w:rPr>
          <w:rFonts w:ascii="Arial" w:hAnsi="Arial" w:cs="Arial"/>
          <w:sz w:val="20"/>
          <w:szCs w:val="20"/>
        </w:rPr>
        <w:t>Se cuenta con cuatro líneas de Generación y Aplicación del Conocimiento (LGAC).</w:t>
      </w:r>
    </w:p>
    <w:p w14:paraId="61E4A3D1" w14:textId="77777777" w:rsidR="002868F9" w:rsidRPr="002868F9" w:rsidRDefault="002868F9" w:rsidP="00412BE2">
      <w:pPr>
        <w:pStyle w:val="Prrafodelista"/>
        <w:numPr>
          <w:ilvl w:val="0"/>
          <w:numId w:val="2"/>
        </w:numPr>
        <w:spacing w:line="360" w:lineRule="auto"/>
        <w:jc w:val="both"/>
        <w:rPr>
          <w:rFonts w:ascii="Arial" w:hAnsi="Arial" w:cs="Arial"/>
          <w:sz w:val="20"/>
          <w:szCs w:val="20"/>
        </w:rPr>
      </w:pPr>
      <w:r>
        <w:rPr>
          <w:rFonts w:ascii="Arial" w:hAnsi="Arial" w:cs="Arial"/>
          <w:sz w:val="20"/>
          <w:szCs w:val="20"/>
        </w:rPr>
        <w:t>Modernización e Innovación de Procesos Alimentarios (MIPA)</w:t>
      </w:r>
    </w:p>
    <w:p w14:paraId="1B6D701B" w14:textId="77777777" w:rsidR="002868F9" w:rsidRDefault="002868F9" w:rsidP="00412BE2">
      <w:pPr>
        <w:pStyle w:val="Prrafodelista"/>
        <w:numPr>
          <w:ilvl w:val="0"/>
          <w:numId w:val="2"/>
        </w:numPr>
        <w:spacing w:line="360" w:lineRule="auto"/>
        <w:jc w:val="both"/>
        <w:rPr>
          <w:rFonts w:ascii="Arial" w:hAnsi="Arial" w:cs="Arial"/>
          <w:sz w:val="20"/>
          <w:szCs w:val="20"/>
        </w:rPr>
      </w:pPr>
      <w:r>
        <w:rPr>
          <w:rFonts w:ascii="Arial" w:hAnsi="Arial" w:cs="Arial"/>
          <w:sz w:val="20"/>
          <w:szCs w:val="20"/>
        </w:rPr>
        <w:t>Alimentos Funcionales y Nutracéuticos (</w:t>
      </w:r>
      <w:proofErr w:type="spellStart"/>
      <w:r>
        <w:rPr>
          <w:rFonts w:ascii="Arial" w:hAnsi="Arial" w:cs="Arial"/>
          <w:sz w:val="20"/>
          <w:szCs w:val="20"/>
        </w:rPr>
        <w:t>AFyN</w:t>
      </w:r>
      <w:proofErr w:type="spellEnd"/>
      <w:r>
        <w:rPr>
          <w:rFonts w:ascii="Arial" w:hAnsi="Arial" w:cs="Arial"/>
          <w:sz w:val="20"/>
          <w:szCs w:val="20"/>
        </w:rPr>
        <w:t>)</w:t>
      </w:r>
    </w:p>
    <w:p w14:paraId="507273DB" w14:textId="77777777" w:rsidR="002868F9" w:rsidRDefault="002868F9" w:rsidP="00412BE2">
      <w:pPr>
        <w:pStyle w:val="Prrafodelista"/>
        <w:numPr>
          <w:ilvl w:val="0"/>
          <w:numId w:val="2"/>
        </w:numPr>
        <w:spacing w:line="360" w:lineRule="auto"/>
        <w:jc w:val="both"/>
        <w:rPr>
          <w:rFonts w:ascii="Arial" w:hAnsi="Arial" w:cs="Arial"/>
          <w:sz w:val="20"/>
          <w:szCs w:val="20"/>
        </w:rPr>
      </w:pPr>
      <w:r>
        <w:rPr>
          <w:rFonts w:ascii="Arial" w:hAnsi="Arial" w:cs="Arial"/>
          <w:sz w:val="20"/>
          <w:szCs w:val="20"/>
        </w:rPr>
        <w:t>Innovación de Proyectos de Investigación en el área Alimentaria y Biotecnología (IPIAB)</w:t>
      </w:r>
    </w:p>
    <w:p w14:paraId="51D36D4D" w14:textId="77777777" w:rsidR="002868F9" w:rsidRDefault="002868F9" w:rsidP="00412BE2">
      <w:pPr>
        <w:pStyle w:val="Prrafodelista"/>
        <w:numPr>
          <w:ilvl w:val="0"/>
          <w:numId w:val="2"/>
        </w:numPr>
        <w:spacing w:line="360" w:lineRule="auto"/>
        <w:jc w:val="both"/>
        <w:rPr>
          <w:rFonts w:ascii="Arial" w:hAnsi="Arial" w:cs="Arial"/>
          <w:sz w:val="20"/>
          <w:szCs w:val="20"/>
        </w:rPr>
      </w:pPr>
      <w:r>
        <w:rPr>
          <w:rFonts w:ascii="Arial" w:hAnsi="Arial" w:cs="Arial"/>
          <w:sz w:val="20"/>
          <w:szCs w:val="20"/>
        </w:rPr>
        <w:t>Biotecnología Microbiana (BM)</w:t>
      </w:r>
    </w:p>
    <w:p w14:paraId="37150D86" w14:textId="1A7E6335" w:rsidR="002868F9" w:rsidRDefault="002868F9" w:rsidP="00412BE2">
      <w:pPr>
        <w:spacing w:line="360" w:lineRule="auto"/>
        <w:jc w:val="both"/>
        <w:rPr>
          <w:rFonts w:ascii="Arial" w:hAnsi="Arial" w:cs="Arial"/>
          <w:sz w:val="20"/>
          <w:szCs w:val="20"/>
        </w:rPr>
      </w:pPr>
      <w:r w:rsidRPr="002868F9">
        <w:rPr>
          <w:rFonts w:ascii="Arial" w:hAnsi="Arial" w:cs="Arial"/>
          <w:sz w:val="20"/>
          <w:szCs w:val="20"/>
        </w:rPr>
        <w:t xml:space="preserve"> </w:t>
      </w:r>
      <w:r>
        <w:rPr>
          <w:rFonts w:ascii="Arial" w:hAnsi="Arial" w:cs="Arial"/>
          <w:sz w:val="20"/>
          <w:szCs w:val="20"/>
        </w:rPr>
        <w:t xml:space="preserve">MIPA cuenta con 4 integrantes, </w:t>
      </w:r>
      <w:proofErr w:type="spellStart"/>
      <w:r>
        <w:rPr>
          <w:rFonts w:ascii="Arial" w:hAnsi="Arial" w:cs="Arial"/>
          <w:sz w:val="20"/>
          <w:szCs w:val="20"/>
        </w:rPr>
        <w:t>AFyN</w:t>
      </w:r>
      <w:proofErr w:type="spellEnd"/>
      <w:r>
        <w:rPr>
          <w:rFonts w:ascii="Arial" w:hAnsi="Arial" w:cs="Arial"/>
          <w:sz w:val="20"/>
          <w:szCs w:val="20"/>
        </w:rPr>
        <w:t xml:space="preserve"> cuenta con 4 integrantes, IPIAB cuenta con 3 integrantes, BM cuenta con 4 integrantes, en donde el </w:t>
      </w:r>
      <w:proofErr w:type="spellStart"/>
      <w:r>
        <w:rPr>
          <w:rFonts w:ascii="Arial" w:hAnsi="Arial" w:cs="Arial"/>
          <w:sz w:val="20"/>
          <w:szCs w:val="20"/>
        </w:rPr>
        <w:t>Dr</w:t>
      </w:r>
      <w:proofErr w:type="spellEnd"/>
      <w:r>
        <w:rPr>
          <w:rFonts w:ascii="Arial" w:hAnsi="Arial" w:cs="Arial"/>
          <w:sz w:val="20"/>
          <w:szCs w:val="20"/>
        </w:rPr>
        <w:t xml:space="preserve"> Juan Antonio Rojas Contreras forma parte de dos LGAC. (IPIAB y BM)</w:t>
      </w:r>
      <w:r w:rsidR="00053326">
        <w:rPr>
          <w:rFonts w:ascii="Arial" w:hAnsi="Arial" w:cs="Arial"/>
          <w:sz w:val="20"/>
          <w:szCs w:val="20"/>
        </w:rPr>
        <w:t>.</w:t>
      </w:r>
    </w:p>
    <w:p w14:paraId="7DB0B846" w14:textId="2F8762B8" w:rsidR="000725DB" w:rsidRDefault="000725DB" w:rsidP="00412BE2">
      <w:pPr>
        <w:spacing w:line="360" w:lineRule="auto"/>
        <w:jc w:val="both"/>
        <w:rPr>
          <w:rFonts w:ascii="Arial" w:hAnsi="Arial" w:cs="Arial"/>
          <w:sz w:val="20"/>
          <w:szCs w:val="20"/>
        </w:rPr>
      </w:pPr>
      <w:r>
        <w:rPr>
          <w:rFonts w:ascii="Arial" w:hAnsi="Arial" w:cs="Arial"/>
          <w:sz w:val="20"/>
          <w:szCs w:val="20"/>
        </w:rPr>
        <w:t>Es importante, contar con el apoyo institucional para el recambio generacional, de la plantilla del NAB</w:t>
      </w:r>
      <w:r w:rsidR="008F4D81">
        <w:rPr>
          <w:rFonts w:ascii="Arial" w:hAnsi="Arial" w:cs="Arial"/>
          <w:sz w:val="20"/>
          <w:szCs w:val="20"/>
        </w:rPr>
        <w:t xml:space="preserve"> 5 integrantes se encuentran en condiciones de jubilación, si bien se han integrado al NAB en los últimos 6 años 3 PTC, es importante continuar con el ritmo ascendente para provocar un recambio generacional, así como incrementar la capacidad de atención a estudiantes.</w:t>
      </w:r>
    </w:p>
    <w:p w14:paraId="77E2F944" w14:textId="77777777" w:rsidR="008F4D81" w:rsidRDefault="008F4D81" w:rsidP="00412BE2">
      <w:pPr>
        <w:spacing w:line="360" w:lineRule="auto"/>
        <w:jc w:val="both"/>
        <w:rPr>
          <w:rFonts w:ascii="Arial" w:hAnsi="Arial" w:cs="Arial"/>
          <w:sz w:val="20"/>
          <w:szCs w:val="20"/>
        </w:rPr>
      </w:pPr>
    </w:p>
    <w:p w14:paraId="3DB48C65" w14:textId="055071D0" w:rsidR="00053326" w:rsidRDefault="00053326" w:rsidP="00412BE2">
      <w:pPr>
        <w:spacing w:line="360" w:lineRule="auto"/>
        <w:jc w:val="both"/>
        <w:rPr>
          <w:rFonts w:ascii="Arial" w:hAnsi="Arial" w:cs="Arial"/>
          <w:sz w:val="20"/>
          <w:szCs w:val="20"/>
        </w:rPr>
      </w:pPr>
      <w:r>
        <w:rPr>
          <w:rFonts w:ascii="Arial" w:hAnsi="Arial" w:cs="Arial"/>
          <w:sz w:val="20"/>
          <w:szCs w:val="20"/>
        </w:rPr>
        <w:t>La movilidad del núcleo académico básico es intensa, aún cuando en menor medida que la mostrada por los estudiantes, de tal forma en el periodo se tiene contabilizado un total de 13 acciones de movilidad por parte de los integrantes del NAB, siendo dicho apartado una debilidad que debe ser subsanada, en especial por que la movilidad registrada se encuentra asociada solo a 3 LGAC (</w:t>
      </w:r>
      <w:proofErr w:type="spellStart"/>
      <w:r>
        <w:rPr>
          <w:rFonts w:ascii="Arial" w:hAnsi="Arial" w:cs="Arial"/>
          <w:sz w:val="20"/>
          <w:szCs w:val="20"/>
        </w:rPr>
        <w:t>AFyN</w:t>
      </w:r>
      <w:proofErr w:type="spellEnd"/>
      <w:r>
        <w:rPr>
          <w:rFonts w:ascii="Arial" w:hAnsi="Arial" w:cs="Arial"/>
          <w:sz w:val="20"/>
          <w:szCs w:val="20"/>
        </w:rPr>
        <w:t>, MIPA y BM).</w:t>
      </w:r>
      <w:r w:rsidR="008F4D81">
        <w:rPr>
          <w:rFonts w:ascii="Arial" w:hAnsi="Arial" w:cs="Arial"/>
          <w:sz w:val="20"/>
          <w:szCs w:val="20"/>
        </w:rPr>
        <w:t xml:space="preserve"> Por lo que, aprovechando la existencia de programas como año sabático, estancias de </w:t>
      </w:r>
      <w:r w:rsidR="008F4D81">
        <w:rPr>
          <w:rFonts w:ascii="Arial" w:hAnsi="Arial" w:cs="Arial"/>
          <w:sz w:val="20"/>
          <w:szCs w:val="20"/>
        </w:rPr>
        <w:lastRenderedPageBreak/>
        <w:t>investigación y redes de investigación, se promoverá un incremento en la movilidad de los integrantes del NAB, sin descuidar la movilidad asociada a los estudiantes.</w:t>
      </w:r>
    </w:p>
    <w:p w14:paraId="527AD9CE" w14:textId="77777777" w:rsidR="00053326" w:rsidRDefault="00053326" w:rsidP="00412BE2">
      <w:pPr>
        <w:spacing w:line="360" w:lineRule="auto"/>
        <w:jc w:val="both"/>
        <w:rPr>
          <w:rFonts w:ascii="Arial" w:hAnsi="Arial" w:cs="Arial"/>
          <w:sz w:val="20"/>
          <w:szCs w:val="20"/>
        </w:rPr>
      </w:pPr>
    </w:p>
    <w:p w14:paraId="4E0288E1" w14:textId="77777777" w:rsidR="00053326" w:rsidRDefault="00053326" w:rsidP="00412BE2">
      <w:pPr>
        <w:pStyle w:val="Prrafodelista"/>
        <w:numPr>
          <w:ilvl w:val="0"/>
          <w:numId w:val="1"/>
        </w:numPr>
        <w:spacing w:line="360" w:lineRule="auto"/>
        <w:jc w:val="both"/>
        <w:rPr>
          <w:rFonts w:ascii="Arial" w:hAnsi="Arial" w:cs="Arial"/>
          <w:b/>
          <w:sz w:val="20"/>
          <w:szCs w:val="20"/>
        </w:rPr>
      </w:pPr>
      <w:r w:rsidRPr="00053326">
        <w:rPr>
          <w:rFonts w:ascii="Arial" w:hAnsi="Arial" w:cs="Arial"/>
          <w:b/>
          <w:sz w:val="20"/>
          <w:szCs w:val="20"/>
        </w:rPr>
        <w:t>Estudiantes</w:t>
      </w:r>
    </w:p>
    <w:p w14:paraId="5249FFCC" w14:textId="77777777" w:rsidR="00706C98" w:rsidRPr="00706C98" w:rsidRDefault="00706C98" w:rsidP="00412BE2">
      <w:pPr>
        <w:spacing w:line="360" w:lineRule="auto"/>
        <w:jc w:val="both"/>
        <w:rPr>
          <w:rFonts w:ascii="Arial" w:hAnsi="Arial" w:cs="Arial"/>
          <w:sz w:val="20"/>
          <w:szCs w:val="20"/>
        </w:rPr>
      </w:pPr>
      <w:r>
        <w:rPr>
          <w:rFonts w:ascii="Arial" w:hAnsi="Arial" w:cs="Arial"/>
          <w:sz w:val="20"/>
          <w:szCs w:val="20"/>
        </w:rPr>
        <w:t xml:space="preserve">El ingreso de estudiantes al programa de Doctorado en Ciencias en Ingeniería Bioquímica en </w:t>
      </w:r>
      <w:proofErr w:type="spellStart"/>
      <w:r>
        <w:rPr>
          <w:rFonts w:ascii="Arial" w:hAnsi="Arial" w:cs="Arial"/>
          <w:sz w:val="20"/>
          <w:szCs w:val="20"/>
        </w:rPr>
        <w:t>genral</w:t>
      </w:r>
      <w:proofErr w:type="spellEnd"/>
      <w:r>
        <w:rPr>
          <w:rFonts w:ascii="Arial" w:hAnsi="Arial" w:cs="Arial"/>
          <w:sz w:val="20"/>
          <w:szCs w:val="20"/>
        </w:rPr>
        <w:t xml:space="preserve"> ha mostrado una tendencia al alza, aun cuando no con la rapidez que los integrantes del NAB hubiésemos querido, pero al comparar el ingreso acumulado en los primeros 10 años de vida del programa (5 ingresos), contra el número de estudiantes vigentes, actualmente (30), el crecimiento ha sido importante.</w:t>
      </w:r>
    </w:p>
    <w:p w14:paraId="7BE709B3" w14:textId="77777777" w:rsidR="00053326" w:rsidRDefault="00053326" w:rsidP="00412BE2">
      <w:pPr>
        <w:spacing w:line="360" w:lineRule="auto"/>
        <w:jc w:val="both"/>
        <w:rPr>
          <w:rFonts w:ascii="Arial" w:hAnsi="Arial" w:cs="Arial"/>
          <w:sz w:val="20"/>
          <w:szCs w:val="20"/>
        </w:rPr>
      </w:pPr>
      <w:r>
        <w:rPr>
          <w:rFonts w:ascii="Arial" w:hAnsi="Arial" w:cs="Arial"/>
          <w:sz w:val="20"/>
          <w:szCs w:val="20"/>
        </w:rPr>
        <w:t>El total de estudiantes vigentes es de 30, el número de tutores es de 14, lo que da un total 2.14 estudiantes por tutor, lo cual se encuentra dentro de lo recomendado en el ANEXO A: Programas de Orientación a la Investigación (2 a 4 estudiantes).</w:t>
      </w:r>
    </w:p>
    <w:p w14:paraId="696C1B00" w14:textId="7A2AEB83" w:rsidR="00053326" w:rsidRDefault="00053326" w:rsidP="00412BE2">
      <w:pPr>
        <w:spacing w:line="360" w:lineRule="auto"/>
        <w:jc w:val="both"/>
        <w:rPr>
          <w:rFonts w:ascii="Arial" w:hAnsi="Arial" w:cs="Arial"/>
          <w:sz w:val="20"/>
          <w:szCs w:val="20"/>
        </w:rPr>
      </w:pPr>
      <w:r>
        <w:rPr>
          <w:rFonts w:ascii="Arial" w:hAnsi="Arial" w:cs="Arial"/>
          <w:sz w:val="20"/>
          <w:szCs w:val="20"/>
        </w:rPr>
        <w:t xml:space="preserve">Para el caso de la dirección de tesis, se tiene a 30 estudiantes con 15 profesores fungiendo como director de tesis (1 de ellos como profesor de tiempo parcial interno, </w:t>
      </w:r>
      <w:proofErr w:type="spellStart"/>
      <w:r>
        <w:rPr>
          <w:rFonts w:ascii="Arial" w:hAnsi="Arial" w:cs="Arial"/>
          <w:sz w:val="20"/>
          <w:szCs w:val="20"/>
        </w:rPr>
        <w:t>Dr</w:t>
      </w:r>
      <w:proofErr w:type="spellEnd"/>
      <w:r>
        <w:rPr>
          <w:rFonts w:ascii="Arial" w:hAnsi="Arial" w:cs="Arial"/>
          <w:sz w:val="20"/>
          <w:szCs w:val="20"/>
        </w:rPr>
        <w:t xml:space="preserve"> SVC), lo que da un total de 2 estudiantes dirigidos por profesor.  En el Anexo A, no se indica un numero mínimo, se menciona que es posible dirigir hasta 3 estudiantes de forma simultanea en un programa de Doctorado, por lo que se encuentra dentro de lo recomendado.</w:t>
      </w:r>
    </w:p>
    <w:p w14:paraId="5B99EE35" w14:textId="17F1E54B" w:rsidR="008F4D81" w:rsidRDefault="008F4D81" w:rsidP="00412BE2">
      <w:pPr>
        <w:spacing w:line="360" w:lineRule="auto"/>
        <w:jc w:val="both"/>
        <w:rPr>
          <w:rFonts w:ascii="Arial" w:hAnsi="Arial" w:cs="Arial"/>
          <w:sz w:val="20"/>
          <w:szCs w:val="20"/>
        </w:rPr>
      </w:pPr>
      <w:r>
        <w:rPr>
          <w:rFonts w:ascii="Arial" w:hAnsi="Arial" w:cs="Arial"/>
          <w:sz w:val="20"/>
          <w:szCs w:val="20"/>
        </w:rPr>
        <w:t>Si bien, el ingreso ha ido aumentando, es importante mantener e incrementar dicha tendencia, mediante programas de difusión del programa entre estudiantes de maestría de la región, así como dentro de los mismos estudiantes del programa de Maestría en Ciencias en Ingeniería Bioquímica.</w:t>
      </w:r>
    </w:p>
    <w:p w14:paraId="7354BC51" w14:textId="77777777" w:rsidR="00053326" w:rsidRPr="002868F9" w:rsidRDefault="00053326" w:rsidP="00412BE2">
      <w:pPr>
        <w:spacing w:line="360" w:lineRule="auto"/>
        <w:jc w:val="both"/>
        <w:rPr>
          <w:rFonts w:ascii="Arial" w:hAnsi="Arial" w:cs="Arial"/>
          <w:sz w:val="20"/>
          <w:szCs w:val="20"/>
        </w:rPr>
      </w:pPr>
      <w:r>
        <w:rPr>
          <w:rFonts w:ascii="Arial" w:hAnsi="Arial" w:cs="Arial"/>
          <w:sz w:val="20"/>
          <w:szCs w:val="20"/>
        </w:rPr>
        <w:t>Es política del programa de Doctorado en Ciencias en Ingeniería Bioquímica, el que, en los exámenes de grado, siempre exista, al menos un componente externo, lo cual puede verse en las actas de examen de grado correspondientes.</w:t>
      </w:r>
    </w:p>
    <w:p w14:paraId="14C97028" w14:textId="77777777" w:rsidR="002868F9" w:rsidRDefault="002868F9" w:rsidP="00412BE2">
      <w:pPr>
        <w:spacing w:line="360" w:lineRule="auto"/>
        <w:jc w:val="both"/>
        <w:rPr>
          <w:rFonts w:ascii="Arial" w:hAnsi="Arial" w:cs="Arial"/>
          <w:sz w:val="20"/>
          <w:szCs w:val="20"/>
        </w:rPr>
      </w:pPr>
    </w:p>
    <w:p w14:paraId="0EE06468" w14:textId="77777777" w:rsidR="00706C98" w:rsidRDefault="00706C98" w:rsidP="00412BE2">
      <w:pPr>
        <w:pStyle w:val="Prrafodelista"/>
        <w:numPr>
          <w:ilvl w:val="0"/>
          <w:numId w:val="1"/>
        </w:numPr>
        <w:spacing w:line="360" w:lineRule="auto"/>
        <w:jc w:val="both"/>
        <w:rPr>
          <w:rFonts w:ascii="Arial" w:hAnsi="Arial" w:cs="Arial"/>
          <w:b/>
          <w:sz w:val="20"/>
          <w:szCs w:val="20"/>
        </w:rPr>
      </w:pPr>
      <w:r w:rsidRPr="00706C98">
        <w:rPr>
          <w:rFonts w:ascii="Arial" w:hAnsi="Arial" w:cs="Arial"/>
          <w:b/>
          <w:sz w:val="20"/>
          <w:szCs w:val="20"/>
        </w:rPr>
        <w:t>Resultados y Vinculación</w:t>
      </w:r>
    </w:p>
    <w:p w14:paraId="5178B442"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La totalidad de los integrantes del NAB, cuentan con productos originales, congruentes con la LGAC, lo cual puede apreciarse en el siguiente cuadro</w:t>
      </w:r>
      <w:r w:rsidR="00412BE2">
        <w:rPr>
          <w:rFonts w:ascii="Arial" w:hAnsi="Arial" w:cs="Arial"/>
          <w:sz w:val="20"/>
          <w:szCs w:val="20"/>
        </w:rPr>
        <w:t xml:space="preserve"> (Cuadro 1)</w:t>
      </w:r>
    </w:p>
    <w:p w14:paraId="1EA836F3"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t>Cuadro 1. Productividad histórica del NAB del programa de Doctorado en Ciencias en Ingeniería Bioquímica.</w:t>
      </w:r>
    </w:p>
    <w:tbl>
      <w:tblPr>
        <w:tblStyle w:val="Tablaconcuadrcula"/>
        <w:tblW w:w="0" w:type="auto"/>
        <w:tblLook w:val="04A0" w:firstRow="1" w:lastRow="0" w:firstColumn="1" w:lastColumn="0" w:noHBand="0" w:noVBand="1"/>
      </w:tblPr>
      <w:tblGrid>
        <w:gridCol w:w="2273"/>
        <w:gridCol w:w="2296"/>
        <w:gridCol w:w="2219"/>
        <w:gridCol w:w="2040"/>
      </w:tblGrid>
      <w:tr w:rsidR="00706C98" w14:paraId="058C731D" w14:textId="77777777" w:rsidTr="00706C98">
        <w:tc>
          <w:tcPr>
            <w:tcW w:w="2273" w:type="dxa"/>
          </w:tcPr>
          <w:p w14:paraId="3650BC21"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Nombre</w:t>
            </w:r>
          </w:p>
        </w:tc>
        <w:tc>
          <w:tcPr>
            <w:tcW w:w="2296" w:type="dxa"/>
          </w:tcPr>
          <w:p w14:paraId="524E0C23"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Artículos</w:t>
            </w:r>
          </w:p>
        </w:tc>
        <w:tc>
          <w:tcPr>
            <w:tcW w:w="2219" w:type="dxa"/>
          </w:tcPr>
          <w:p w14:paraId="173485DD"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Libros</w:t>
            </w:r>
          </w:p>
        </w:tc>
        <w:tc>
          <w:tcPr>
            <w:tcW w:w="2040" w:type="dxa"/>
          </w:tcPr>
          <w:p w14:paraId="55003F62"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 xml:space="preserve">Capítulos de libro </w:t>
            </w:r>
          </w:p>
        </w:tc>
      </w:tr>
      <w:tr w:rsidR="00706C98" w14:paraId="0DE76C3A" w14:textId="77777777" w:rsidTr="00706C98">
        <w:tc>
          <w:tcPr>
            <w:tcW w:w="2273" w:type="dxa"/>
          </w:tcPr>
          <w:p w14:paraId="7828D136"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Javier López Miranda</w:t>
            </w:r>
          </w:p>
        </w:tc>
        <w:tc>
          <w:tcPr>
            <w:tcW w:w="2296" w:type="dxa"/>
          </w:tcPr>
          <w:p w14:paraId="50EEEEDD"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71</w:t>
            </w:r>
          </w:p>
        </w:tc>
        <w:tc>
          <w:tcPr>
            <w:tcW w:w="2219" w:type="dxa"/>
          </w:tcPr>
          <w:p w14:paraId="794E8400"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c>
          <w:tcPr>
            <w:tcW w:w="2040" w:type="dxa"/>
          </w:tcPr>
          <w:p w14:paraId="542AED88"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13</w:t>
            </w:r>
          </w:p>
        </w:tc>
      </w:tr>
      <w:tr w:rsidR="00706C98" w14:paraId="637E318E" w14:textId="77777777" w:rsidTr="00706C98">
        <w:tc>
          <w:tcPr>
            <w:tcW w:w="2273" w:type="dxa"/>
          </w:tcPr>
          <w:p w14:paraId="022F9D2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Aquiles Solís Soto</w:t>
            </w:r>
          </w:p>
        </w:tc>
        <w:tc>
          <w:tcPr>
            <w:tcW w:w="2296" w:type="dxa"/>
          </w:tcPr>
          <w:p w14:paraId="77AD925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45</w:t>
            </w:r>
          </w:p>
        </w:tc>
        <w:tc>
          <w:tcPr>
            <w:tcW w:w="2219" w:type="dxa"/>
          </w:tcPr>
          <w:p w14:paraId="58D459B8"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w:t>
            </w:r>
          </w:p>
        </w:tc>
        <w:tc>
          <w:tcPr>
            <w:tcW w:w="2040" w:type="dxa"/>
          </w:tcPr>
          <w:p w14:paraId="6582BC4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3</w:t>
            </w:r>
          </w:p>
        </w:tc>
      </w:tr>
      <w:tr w:rsidR="00706C98" w14:paraId="490B1737" w14:textId="77777777" w:rsidTr="00706C98">
        <w:tc>
          <w:tcPr>
            <w:tcW w:w="2273" w:type="dxa"/>
          </w:tcPr>
          <w:p w14:paraId="7B400A25"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lastRenderedPageBreak/>
              <w:t>Luz Araceli Ochoa Martínez</w:t>
            </w:r>
          </w:p>
        </w:tc>
        <w:tc>
          <w:tcPr>
            <w:tcW w:w="2296" w:type="dxa"/>
          </w:tcPr>
          <w:p w14:paraId="62D22D6B"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102</w:t>
            </w:r>
          </w:p>
        </w:tc>
        <w:tc>
          <w:tcPr>
            <w:tcW w:w="2219" w:type="dxa"/>
          </w:tcPr>
          <w:p w14:paraId="34254501"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w:t>
            </w:r>
          </w:p>
        </w:tc>
        <w:tc>
          <w:tcPr>
            <w:tcW w:w="2040" w:type="dxa"/>
          </w:tcPr>
          <w:p w14:paraId="14D4F6C1"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20</w:t>
            </w:r>
          </w:p>
        </w:tc>
      </w:tr>
      <w:tr w:rsidR="00706C98" w14:paraId="7B02FFCC" w14:textId="77777777" w:rsidTr="00706C98">
        <w:tc>
          <w:tcPr>
            <w:tcW w:w="2273" w:type="dxa"/>
          </w:tcPr>
          <w:p w14:paraId="49866F4C"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Juliana Morales Castro</w:t>
            </w:r>
          </w:p>
        </w:tc>
        <w:tc>
          <w:tcPr>
            <w:tcW w:w="2296" w:type="dxa"/>
          </w:tcPr>
          <w:p w14:paraId="45689A0A"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100</w:t>
            </w:r>
          </w:p>
        </w:tc>
        <w:tc>
          <w:tcPr>
            <w:tcW w:w="2219" w:type="dxa"/>
          </w:tcPr>
          <w:p w14:paraId="58EA4CE5"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4</w:t>
            </w:r>
          </w:p>
        </w:tc>
        <w:tc>
          <w:tcPr>
            <w:tcW w:w="2040" w:type="dxa"/>
          </w:tcPr>
          <w:p w14:paraId="2F94D02C"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16</w:t>
            </w:r>
          </w:p>
        </w:tc>
      </w:tr>
      <w:tr w:rsidR="00706C98" w14:paraId="256E9AD1" w14:textId="77777777" w:rsidTr="00706C98">
        <w:tc>
          <w:tcPr>
            <w:tcW w:w="2273" w:type="dxa"/>
          </w:tcPr>
          <w:p w14:paraId="3D1C30D1"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Nuria Elizabeth Rocha Guzmán</w:t>
            </w:r>
          </w:p>
        </w:tc>
        <w:tc>
          <w:tcPr>
            <w:tcW w:w="2296" w:type="dxa"/>
          </w:tcPr>
          <w:p w14:paraId="7D899791"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203</w:t>
            </w:r>
          </w:p>
        </w:tc>
        <w:tc>
          <w:tcPr>
            <w:tcW w:w="2219" w:type="dxa"/>
          </w:tcPr>
          <w:p w14:paraId="2288871F"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w:t>
            </w:r>
          </w:p>
        </w:tc>
        <w:tc>
          <w:tcPr>
            <w:tcW w:w="2040" w:type="dxa"/>
          </w:tcPr>
          <w:p w14:paraId="6AB4640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12</w:t>
            </w:r>
          </w:p>
        </w:tc>
      </w:tr>
      <w:tr w:rsidR="00706C98" w14:paraId="02013645" w14:textId="77777777" w:rsidTr="00706C98">
        <w:tc>
          <w:tcPr>
            <w:tcW w:w="2273" w:type="dxa"/>
          </w:tcPr>
          <w:p w14:paraId="1F360CD5"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 xml:space="preserve">Olga Miriam </w:t>
            </w:r>
            <w:proofErr w:type="spellStart"/>
            <w:r>
              <w:rPr>
                <w:rFonts w:ascii="Arial" w:hAnsi="Arial" w:cs="Arial"/>
                <w:sz w:val="20"/>
                <w:szCs w:val="20"/>
              </w:rPr>
              <w:t>Rutiaga</w:t>
            </w:r>
            <w:proofErr w:type="spellEnd"/>
            <w:r>
              <w:rPr>
                <w:rFonts w:ascii="Arial" w:hAnsi="Arial" w:cs="Arial"/>
                <w:sz w:val="20"/>
                <w:szCs w:val="20"/>
              </w:rPr>
              <w:t xml:space="preserve"> Quiñonez</w:t>
            </w:r>
          </w:p>
        </w:tc>
        <w:tc>
          <w:tcPr>
            <w:tcW w:w="2296" w:type="dxa"/>
          </w:tcPr>
          <w:p w14:paraId="7797171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113</w:t>
            </w:r>
          </w:p>
        </w:tc>
        <w:tc>
          <w:tcPr>
            <w:tcW w:w="2219" w:type="dxa"/>
          </w:tcPr>
          <w:p w14:paraId="7A5E247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w:t>
            </w:r>
          </w:p>
        </w:tc>
        <w:tc>
          <w:tcPr>
            <w:tcW w:w="2040" w:type="dxa"/>
          </w:tcPr>
          <w:p w14:paraId="08AA22AF"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10</w:t>
            </w:r>
          </w:p>
        </w:tc>
      </w:tr>
      <w:tr w:rsidR="00706C98" w14:paraId="17BC482E" w14:textId="77777777" w:rsidTr="00706C98">
        <w:tc>
          <w:tcPr>
            <w:tcW w:w="2273" w:type="dxa"/>
          </w:tcPr>
          <w:p w14:paraId="038BAC5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José Alberto Gallegos Infante</w:t>
            </w:r>
          </w:p>
        </w:tc>
        <w:tc>
          <w:tcPr>
            <w:tcW w:w="2296" w:type="dxa"/>
          </w:tcPr>
          <w:p w14:paraId="20604794"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183</w:t>
            </w:r>
          </w:p>
        </w:tc>
        <w:tc>
          <w:tcPr>
            <w:tcW w:w="2219" w:type="dxa"/>
          </w:tcPr>
          <w:p w14:paraId="28A6B06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4</w:t>
            </w:r>
          </w:p>
        </w:tc>
        <w:tc>
          <w:tcPr>
            <w:tcW w:w="2040" w:type="dxa"/>
          </w:tcPr>
          <w:p w14:paraId="1DCB34FB"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28</w:t>
            </w:r>
          </w:p>
        </w:tc>
      </w:tr>
      <w:tr w:rsidR="00706C98" w14:paraId="6D335686" w14:textId="77777777" w:rsidTr="00706C98">
        <w:tc>
          <w:tcPr>
            <w:tcW w:w="2273" w:type="dxa"/>
          </w:tcPr>
          <w:p w14:paraId="2D29D761" w14:textId="77777777" w:rsidR="00706C98" w:rsidRDefault="00706C98" w:rsidP="00412BE2">
            <w:pPr>
              <w:spacing w:line="360" w:lineRule="auto"/>
              <w:jc w:val="both"/>
              <w:rPr>
                <w:rFonts w:ascii="Arial" w:hAnsi="Arial" w:cs="Arial"/>
                <w:sz w:val="20"/>
                <w:szCs w:val="20"/>
              </w:rPr>
            </w:pPr>
            <w:proofErr w:type="spellStart"/>
            <w:r>
              <w:rPr>
                <w:rFonts w:ascii="Arial" w:hAnsi="Arial" w:cs="Arial"/>
                <w:sz w:val="20"/>
                <w:szCs w:val="20"/>
              </w:rPr>
              <w:t>Walfred</w:t>
            </w:r>
            <w:proofErr w:type="spellEnd"/>
            <w:r>
              <w:rPr>
                <w:rFonts w:ascii="Arial" w:hAnsi="Arial" w:cs="Arial"/>
                <w:sz w:val="20"/>
                <w:szCs w:val="20"/>
              </w:rPr>
              <w:t xml:space="preserve"> Rosas Flores</w:t>
            </w:r>
          </w:p>
        </w:tc>
        <w:tc>
          <w:tcPr>
            <w:tcW w:w="2296" w:type="dxa"/>
          </w:tcPr>
          <w:p w14:paraId="39386B15"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5</w:t>
            </w:r>
          </w:p>
        </w:tc>
        <w:tc>
          <w:tcPr>
            <w:tcW w:w="2219" w:type="dxa"/>
          </w:tcPr>
          <w:p w14:paraId="4470E7B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c>
          <w:tcPr>
            <w:tcW w:w="2040" w:type="dxa"/>
          </w:tcPr>
          <w:p w14:paraId="3A767355"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r>
      <w:tr w:rsidR="00706C98" w14:paraId="7A0C61BB" w14:textId="77777777" w:rsidTr="00706C98">
        <w:tc>
          <w:tcPr>
            <w:tcW w:w="2273" w:type="dxa"/>
          </w:tcPr>
          <w:p w14:paraId="658B39E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Nicolás Oscar Soto Cruz</w:t>
            </w:r>
          </w:p>
        </w:tc>
        <w:tc>
          <w:tcPr>
            <w:tcW w:w="2296" w:type="dxa"/>
          </w:tcPr>
          <w:p w14:paraId="293A44F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53</w:t>
            </w:r>
          </w:p>
        </w:tc>
        <w:tc>
          <w:tcPr>
            <w:tcW w:w="2219" w:type="dxa"/>
          </w:tcPr>
          <w:p w14:paraId="3B757C78"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4</w:t>
            </w:r>
          </w:p>
        </w:tc>
        <w:tc>
          <w:tcPr>
            <w:tcW w:w="2040" w:type="dxa"/>
          </w:tcPr>
          <w:p w14:paraId="2534EA47"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13</w:t>
            </w:r>
          </w:p>
        </w:tc>
      </w:tr>
      <w:tr w:rsidR="00706C98" w14:paraId="16AF1E84" w14:textId="77777777" w:rsidTr="00706C98">
        <w:tc>
          <w:tcPr>
            <w:tcW w:w="2273" w:type="dxa"/>
          </w:tcPr>
          <w:p w14:paraId="480E4F20"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Efrén Delgado Licón</w:t>
            </w:r>
          </w:p>
        </w:tc>
        <w:tc>
          <w:tcPr>
            <w:tcW w:w="2296" w:type="dxa"/>
          </w:tcPr>
          <w:p w14:paraId="67FE52C4"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44</w:t>
            </w:r>
          </w:p>
        </w:tc>
        <w:tc>
          <w:tcPr>
            <w:tcW w:w="2219" w:type="dxa"/>
          </w:tcPr>
          <w:p w14:paraId="22BA28BC"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4</w:t>
            </w:r>
          </w:p>
        </w:tc>
        <w:tc>
          <w:tcPr>
            <w:tcW w:w="2040" w:type="dxa"/>
          </w:tcPr>
          <w:p w14:paraId="5AB96D9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8</w:t>
            </w:r>
          </w:p>
        </w:tc>
      </w:tr>
      <w:tr w:rsidR="00706C98" w14:paraId="5E6F96A1" w14:textId="77777777" w:rsidTr="00706C98">
        <w:tc>
          <w:tcPr>
            <w:tcW w:w="2273" w:type="dxa"/>
          </w:tcPr>
          <w:p w14:paraId="573278CE"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Rubén Francisco González Laredo</w:t>
            </w:r>
          </w:p>
        </w:tc>
        <w:tc>
          <w:tcPr>
            <w:tcW w:w="2296" w:type="dxa"/>
          </w:tcPr>
          <w:p w14:paraId="46516248"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225</w:t>
            </w:r>
          </w:p>
        </w:tc>
        <w:tc>
          <w:tcPr>
            <w:tcW w:w="2219" w:type="dxa"/>
          </w:tcPr>
          <w:p w14:paraId="3B345021"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3</w:t>
            </w:r>
          </w:p>
        </w:tc>
        <w:tc>
          <w:tcPr>
            <w:tcW w:w="2040" w:type="dxa"/>
          </w:tcPr>
          <w:p w14:paraId="60F2D203"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19</w:t>
            </w:r>
          </w:p>
        </w:tc>
      </w:tr>
      <w:tr w:rsidR="00706C98" w14:paraId="0DF2D59C" w14:textId="77777777" w:rsidTr="00706C98">
        <w:tc>
          <w:tcPr>
            <w:tcW w:w="2273" w:type="dxa"/>
          </w:tcPr>
          <w:p w14:paraId="79F27AA6"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Hiram Medrano Roldán</w:t>
            </w:r>
          </w:p>
        </w:tc>
        <w:tc>
          <w:tcPr>
            <w:tcW w:w="2296" w:type="dxa"/>
          </w:tcPr>
          <w:p w14:paraId="66581C2D"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378</w:t>
            </w:r>
          </w:p>
        </w:tc>
        <w:tc>
          <w:tcPr>
            <w:tcW w:w="2219" w:type="dxa"/>
          </w:tcPr>
          <w:p w14:paraId="5D3DDD83"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27</w:t>
            </w:r>
          </w:p>
        </w:tc>
        <w:tc>
          <w:tcPr>
            <w:tcW w:w="2040" w:type="dxa"/>
          </w:tcPr>
          <w:p w14:paraId="2967CB66"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106</w:t>
            </w:r>
          </w:p>
        </w:tc>
      </w:tr>
      <w:tr w:rsidR="00706C98" w14:paraId="723E6559" w14:textId="77777777" w:rsidTr="00706C98">
        <w:tc>
          <w:tcPr>
            <w:tcW w:w="2273" w:type="dxa"/>
          </w:tcPr>
          <w:p w14:paraId="37F97513"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 xml:space="preserve">Martha </w:t>
            </w:r>
            <w:proofErr w:type="spellStart"/>
            <w:r>
              <w:rPr>
                <w:rFonts w:ascii="Arial" w:hAnsi="Arial" w:cs="Arial"/>
                <w:sz w:val="20"/>
                <w:szCs w:val="20"/>
              </w:rPr>
              <w:t>Rocio</w:t>
            </w:r>
            <w:proofErr w:type="spellEnd"/>
            <w:r>
              <w:rPr>
                <w:rFonts w:ascii="Arial" w:hAnsi="Arial" w:cs="Arial"/>
                <w:sz w:val="20"/>
                <w:szCs w:val="20"/>
              </w:rPr>
              <w:t xml:space="preserve"> Moreno Jiménez</w:t>
            </w:r>
          </w:p>
        </w:tc>
        <w:tc>
          <w:tcPr>
            <w:tcW w:w="2296" w:type="dxa"/>
          </w:tcPr>
          <w:p w14:paraId="780D249A"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38</w:t>
            </w:r>
          </w:p>
        </w:tc>
        <w:tc>
          <w:tcPr>
            <w:tcW w:w="2219" w:type="dxa"/>
          </w:tcPr>
          <w:p w14:paraId="2B422BD2"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c>
          <w:tcPr>
            <w:tcW w:w="2040" w:type="dxa"/>
          </w:tcPr>
          <w:p w14:paraId="2497E524"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r>
      <w:tr w:rsidR="00706C98" w14:paraId="5B0D9BF5" w14:textId="77777777" w:rsidTr="00706C98">
        <w:tc>
          <w:tcPr>
            <w:tcW w:w="2273" w:type="dxa"/>
          </w:tcPr>
          <w:p w14:paraId="5EC30E47"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Jesús Bernardo Páez Lerma</w:t>
            </w:r>
          </w:p>
        </w:tc>
        <w:tc>
          <w:tcPr>
            <w:tcW w:w="2296" w:type="dxa"/>
          </w:tcPr>
          <w:p w14:paraId="7C0798E0"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33</w:t>
            </w:r>
          </w:p>
        </w:tc>
        <w:tc>
          <w:tcPr>
            <w:tcW w:w="2219" w:type="dxa"/>
          </w:tcPr>
          <w:p w14:paraId="4A80B678"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c>
          <w:tcPr>
            <w:tcW w:w="2040" w:type="dxa"/>
          </w:tcPr>
          <w:p w14:paraId="46E5056A"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3</w:t>
            </w:r>
          </w:p>
        </w:tc>
      </w:tr>
      <w:tr w:rsidR="00706C98" w14:paraId="6E182327" w14:textId="77777777" w:rsidTr="00706C98">
        <w:tc>
          <w:tcPr>
            <w:tcW w:w="2273" w:type="dxa"/>
          </w:tcPr>
          <w:p w14:paraId="3424E7C9"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Juan Antonio Rojas Contreras</w:t>
            </w:r>
          </w:p>
        </w:tc>
        <w:tc>
          <w:tcPr>
            <w:tcW w:w="2296" w:type="dxa"/>
          </w:tcPr>
          <w:p w14:paraId="06DCE570"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28</w:t>
            </w:r>
          </w:p>
        </w:tc>
        <w:tc>
          <w:tcPr>
            <w:tcW w:w="2219" w:type="dxa"/>
          </w:tcPr>
          <w:p w14:paraId="635A9DE0"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c>
          <w:tcPr>
            <w:tcW w:w="2040" w:type="dxa"/>
          </w:tcPr>
          <w:p w14:paraId="26679050"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w:t>
            </w:r>
          </w:p>
        </w:tc>
      </w:tr>
      <w:tr w:rsidR="00706C98" w14:paraId="7A528B89" w14:textId="77777777" w:rsidTr="00706C98">
        <w:tc>
          <w:tcPr>
            <w:tcW w:w="2273" w:type="dxa"/>
          </w:tcPr>
          <w:p w14:paraId="2F09840F"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Silvia Marina González Herrera</w:t>
            </w:r>
          </w:p>
        </w:tc>
        <w:tc>
          <w:tcPr>
            <w:tcW w:w="2296" w:type="dxa"/>
          </w:tcPr>
          <w:p w14:paraId="1B1BF4B7"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26</w:t>
            </w:r>
          </w:p>
        </w:tc>
        <w:tc>
          <w:tcPr>
            <w:tcW w:w="2219" w:type="dxa"/>
          </w:tcPr>
          <w:p w14:paraId="1A87CBFA"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0</w:t>
            </w:r>
          </w:p>
        </w:tc>
        <w:tc>
          <w:tcPr>
            <w:tcW w:w="2040" w:type="dxa"/>
          </w:tcPr>
          <w:p w14:paraId="66A8F1D6"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8</w:t>
            </w:r>
          </w:p>
        </w:tc>
      </w:tr>
    </w:tbl>
    <w:p w14:paraId="4BBFFD15" w14:textId="77777777" w:rsidR="00706C98" w:rsidRDefault="00706C98" w:rsidP="00412BE2">
      <w:pPr>
        <w:spacing w:line="360" w:lineRule="auto"/>
        <w:jc w:val="both"/>
        <w:rPr>
          <w:rFonts w:ascii="Arial" w:hAnsi="Arial" w:cs="Arial"/>
          <w:sz w:val="20"/>
          <w:szCs w:val="20"/>
        </w:rPr>
      </w:pPr>
    </w:p>
    <w:p w14:paraId="1F5CE147" w14:textId="77777777" w:rsidR="00706C98" w:rsidRDefault="00706C98" w:rsidP="00412BE2">
      <w:pPr>
        <w:spacing w:line="360" w:lineRule="auto"/>
        <w:jc w:val="both"/>
        <w:rPr>
          <w:rFonts w:ascii="Arial" w:hAnsi="Arial" w:cs="Arial"/>
          <w:sz w:val="20"/>
          <w:szCs w:val="20"/>
        </w:rPr>
      </w:pPr>
      <w:r>
        <w:rPr>
          <w:rFonts w:ascii="Arial" w:hAnsi="Arial" w:cs="Arial"/>
          <w:sz w:val="20"/>
          <w:szCs w:val="20"/>
        </w:rPr>
        <w:t>Los datos anteriores corresponden a la productividad histórica de los integrantes del NAB</w:t>
      </w:r>
      <w:r w:rsidR="008373E5">
        <w:rPr>
          <w:rFonts w:ascii="Arial" w:hAnsi="Arial" w:cs="Arial"/>
          <w:sz w:val="20"/>
          <w:szCs w:val="20"/>
        </w:rPr>
        <w:t>, con respecto a los artículos generados en el periodo por LGAC se observa lo siguiente:</w:t>
      </w:r>
    </w:p>
    <w:p w14:paraId="493B21AE" w14:textId="77777777" w:rsidR="008373E5" w:rsidRDefault="00412BE2" w:rsidP="00412BE2">
      <w:pPr>
        <w:spacing w:line="360" w:lineRule="auto"/>
        <w:jc w:val="both"/>
        <w:rPr>
          <w:rFonts w:ascii="Arial" w:hAnsi="Arial" w:cs="Arial"/>
          <w:sz w:val="20"/>
          <w:szCs w:val="20"/>
        </w:rPr>
      </w:pPr>
      <w:r>
        <w:rPr>
          <w:rFonts w:ascii="Arial" w:hAnsi="Arial" w:cs="Arial"/>
          <w:sz w:val="20"/>
          <w:szCs w:val="20"/>
        </w:rPr>
        <w:t>Cuadro 2. Producción de artículos por LGAC en el periodo de evaluación.</w:t>
      </w:r>
    </w:p>
    <w:tbl>
      <w:tblPr>
        <w:tblStyle w:val="Tablaconcuadrcula"/>
        <w:tblW w:w="0" w:type="auto"/>
        <w:tblLook w:val="04A0" w:firstRow="1" w:lastRow="0" w:firstColumn="1" w:lastColumn="0" w:noHBand="0" w:noVBand="1"/>
      </w:tblPr>
      <w:tblGrid>
        <w:gridCol w:w="4414"/>
        <w:gridCol w:w="4414"/>
      </w:tblGrid>
      <w:tr w:rsidR="008373E5" w14:paraId="2B659D3F" w14:textId="77777777" w:rsidTr="008373E5">
        <w:tc>
          <w:tcPr>
            <w:tcW w:w="4414" w:type="dxa"/>
          </w:tcPr>
          <w:p w14:paraId="7C87F596" w14:textId="77777777" w:rsidR="008373E5" w:rsidRDefault="008373E5" w:rsidP="00412BE2">
            <w:pPr>
              <w:spacing w:line="360" w:lineRule="auto"/>
              <w:jc w:val="both"/>
              <w:rPr>
                <w:rFonts w:ascii="Arial" w:hAnsi="Arial" w:cs="Arial"/>
                <w:sz w:val="20"/>
                <w:szCs w:val="20"/>
              </w:rPr>
            </w:pPr>
            <w:r>
              <w:rPr>
                <w:rFonts w:ascii="Arial" w:hAnsi="Arial" w:cs="Arial"/>
                <w:sz w:val="20"/>
                <w:szCs w:val="20"/>
              </w:rPr>
              <w:t>LGAC</w:t>
            </w:r>
          </w:p>
        </w:tc>
        <w:tc>
          <w:tcPr>
            <w:tcW w:w="4414" w:type="dxa"/>
          </w:tcPr>
          <w:p w14:paraId="06E5727B" w14:textId="77777777" w:rsidR="008373E5" w:rsidRDefault="008373E5" w:rsidP="00412BE2">
            <w:pPr>
              <w:spacing w:line="360" w:lineRule="auto"/>
              <w:jc w:val="both"/>
              <w:rPr>
                <w:rFonts w:ascii="Arial" w:hAnsi="Arial" w:cs="Arial"/>
                <w:sz w:val="20"/>
                <w:szCs w:val="20"/>
              </w:rPr>
            </w:pPr>
            <w:r>
              <w:rPr>
                <w:rFonts w:ascii="Arial" w:hAnsi="Arial" w:cs="Arial"/>
                <w:sz w:val="20"/>
                <w:szCs w:val="20"/>
              </w:rPr>
              <w:t>Artículos publicados (2013-2018)</w:t>
            </w:r>
          </w:p>
        </w:tc>
      </w:tr>
      <w:tr w:rsidR="008373E5" w14:paraId="666B6EB4" w14:textId="77777777" w:rsidTr="008373E5">
        <w:tc>
          <w:tcPr>
            <w:tcW w:w="4414" w:type="dxa"/>
          </w:tcPr>
          <w:p w14:paraId="744E3514" w14:textId="77777777" w:rsidR="008373E5" w:rsidRDefault="008373E5" w:rsidP="00412BE2">
            <w:pPr>
              <w:spacing w:line="360" w:lineRule="auto"/>
              <w:jc w:val="both"/>
              <w:rPr>
                <w:rFonts w:ascii="Arial" w:hAnsi="Arial" w:cs="Arial"/>
                <w:sz w:val="20"/>
                <w:szCs w:val="20"/>
              </w:rPr>
            </w:pPr>
            <w:r>
              <w:rPr>
                <w:rFonts w:ascii="Arial" w:hAnsi="Arial" w:cs="Arial"/>
                <w:sz w:val="20"/>
                <w:szCs w:val="20"/>
              </w:rPr>
              <w:t>MIPA</w:t>
            </w:r>
          </w:p>
        </w:tc>
        <w:tc>
          <w:tcPr>
            <w:tcW w:w="4414" w:type="dxa"/>
          </w:tcPr>
          <w:p w14:paraId="77572D22" w14:textId="77777777" w:rsidR="008373E5" w:rsidRDefault="00426962" w:rsidP="00412BE2">
            <w:pPr>
              <w:spacing w:line="360" w:lineRule="auto"/>
              <w:jc w:val="both"/>
              <w:rPr>
                <w:rFonts w:ascii="Arial" w:hAnsi="Arial" w:cs="Arial"/>
                <w:sz w:val="20"/>
                <w:szCs w:val="20"/>
              </w:rPr>
            </w:pPr>
            <w:r>
              <w:rPr>
                <w:rFonts w:ascii="Arial" w:hAnsi="Arial" w:cs="Arial"/>
                <w:sz w:val="20"/>
                <w:szCs w:val="20"/>
              </w:rPr>
              <w:t>21</w:t>
            </w:r>
          </w:p>
        </w:tc>
      </w:tr>
      <w:tr w:rsidR="008373E5" w14:paraId="77F9E58E" w14:textId="77777777" w:rsidTr="008373E5">
        <w:tc>
          <w:tcPr>
            <w:tcW w:w="4414" w:type="dxa"/>
          </w:tcPr>
          <w:p w14:paraId="4282EB3F" w14:textId="77777777" w:rsidR="008373E5" w:rsidRDefault="008373E5" w:rsidP="00412BE2">
            <w:pPr>
              <w:spacing w:line="360" w:lineRule="auto"/>
              <w:jc w:val="both"/>
              <w:rPr>
                <w:rFonts w:ascii="Arial" w:hAnsi="Arial" w:cs="Arial"/>
                <w:sz w:val="20"/>
                <w:szCs w:val="20"/>
              </w:rPr>
            </w:pPr>
            <w:proofErr w:type="spellStart"/>
            <w:r>
              <w:rPr>
                <w:rFonts w:ascii="Arial" w:hAnsi="Arial" w:cs="Arial"/>
                <w:sz w:val="20"/>
                <w:szCs w:val="20"/>
              </w:rPr>
              <w:t>AFyN</w:t>
            </w:r>
            <w:proofErr w:type="spellEnd"/>
          </w:p>
        </w:tc>
        <w:tc>
          <w:tcPr>
            <w:tcW w:w="4414" w:type="dxa"/>
          </w:tcPr>
          <w:p w14:paraId="3387B364" w14:textId="77777777" w:rsidR="008373E5" w:rsidRDefault="00426962" w:rsidP="00412BE2">
            <w:pPr>
              <w:spacing w:line="360" w:lineRule="auto"/>
              <w:jc w:val="both"/>
              <w:rPr>
                <w:rFonts w:ascii="Arial" w:hAnsi="Arial" w:cs="Arial"/>
                <w:sz w:val="20"/>
                <w:szCs w:val="20"/>
              </w:rPr>
            </w:pPr>
            <w:r>
              <w:rPr>
                <w:rFonts w:ascii="Arial" w:hAnsi="Arial" w:cs="Arial"/>
                <w:sz w:val="20"/>
                <w:szCs w:val="20"/>
              </w:rPr>
              <w:t>49</w:t>
            </w:r>
          </w:p>
        </w:tc>
      </w:tr>
      <w:tr w:rsidR="008373E5" w14:paraId="22B1FBE5" w14:textId="77777777" w:rsidTr="008373E5">
        <w:tc>
          <w:tcPr>
            <w:tcW w:w="4414" w:type="dxa"/>
          </w:tcPr>
          <w:p w14:paraId="48E87DCF" w14:textId="77777777" w:rsidR="008373E5" w:rsidRDefault="008373E5" w:rsidP="00412BE2">
            <w:pPr>
              <w:spacing w:line="360" w:lineRule="auto"/>
              <w:jc w:val="both"/>
              <w:rPr>
                <w:rFonts w:ascii="Arial" w:hAnsi="Arial" w:cs="Arial"/>
                <w:sz w:val="20"/>
                <w:szCs w:val="20"/>
              </w:rPr>
            </w:pPr>
            <w:r>
              <w:rPr>
                <w:rFonts w:ascii="Arial" w:hAnsi="Arial" w:cs="Arial"/>
                <w:sz w:val="20"/>
                <w:szCs w:val="20"/>
              </w:rPr>
              <w:t>IPIAB</w:t>
            </w:r>
          </w:p>
        </w:tc>
        <w:tc>
          <w:tcPr>
            <w:tcW w:w="4414" w:type="dxa"/>
          </w:tcPr>
          <w:p w14:paraId="1A2F468B" w14:textId="77777777" w:rsidR="008373E5" w:rsidRDefault="00426962" w:rsidP="00412BE2">
            <w:pPr>
              <w:spacing w:line="360" w:lineRule="auto"/>
              <w:jc w:val="both"/>
              <w:rPr>
                <w:rFonts w:ascii="Arial" w:hAnsi="Arial" w:cs="Arial"/>
                <w:sz w:val="20"/>
                <w:szCs w:val="20"/>
              </w:rPr>
            </w:pPr>
            <w:r>
              <w:rPr>
                <w:rFonts w:ascii="Arial" w:hAnsi="Arial" w:cs="Arial"/>
                <w:sz w:val="20"/>
                <w:szCs w:val="20"/>
              </w:rPr>
              <w:t>20</w:t>
            </w:r>
          </w:p>
        </w:tc>
      </w:tr>
      <w:tr w:rsidR="008373E5" w14:paraId="7899517B" w14:textId="77777777" w:rsidTr="008373E5">
        <w:tc>
          <w:tcPr>
            <w:tcW w:w="4414" w:type="dxa"/>
          </w:tcPr>
          <w:p w14:paraId="211938EA" w14:textId="77777777" w:rsidR="008373E5" w:rsidRDefault="008373E5" w:rsidP="00412BE2">
            <w:pPr>
              <w:spacing w:line="360" w:lineRule="auto"/>
              <w:jc w:val="both"/>
              <w:rPr>
                <w:rFonts w:ascii="Arial" w:hAnsi="Arial" w:cs="Arial"/>
                <w:sz w:val="20"/>
                <w:szCs w:val="20"/>
              </w:rPr>
            </w:pPr>
            <w:r>
              <w:rPr>
                <w:rFonts w:ascii="Arial" w:hAnsi="Arial" w:cs="Arial"/>
                <w:sz w:val="20"/>
                <w:szCs w:val="20"/>
              </w:rPr>
              <w:t>BM</w:t>
            </w:r>
          </w:p>
        </w:tc>
        <w:tc>
          <w:tcPr>
            <w:tcW w:w="4414" w:type="dxa"/>
          </w:tcPr>
          <w:p w14:paraId="5FA92FBD" w14:textId="77777777" w:rsidR="008373E5" w:rsidRDefault="00426962" w:rsidP="00412BE2">
            <w:pPr>
              <w:spacing w:line="360" w:lineRule="auto"/>
              <w:jc w:val="both"/>
              <w:rPr>
                <w:rFonts w:ascii="Arial" w:hAnsi="Arial" w:cs="Arial"/>
                <w:sz w:val="20"/>
                <w:szCs w:val="20"/>
              </w:rPr>
            </w:pPr>
            <w:r>
              <w:rPr>
                <w:rFonts w:ascii="Arial" w:hAnsi="Arial" w:cs="Arial"/>
                <w:sz w:val="20"/>
                <w:szCs w:val="20"/>
              </w:rPr>
              <w:t>13</w:t>
            </w:r>
          </w:p>
        </w:tc>
      </w:tr>
    </w:tbl>
    <w:p w14:paraId="2CD7C423" w14:textId="77777777" w:rsidR="008373E5" w:rsidRDefault="008373E5" w:rsidP="00412BE2">
      <w:pPr>
        <w:spacing w:line="360" w:lineRule="auto"/>
        <w:jc w:val="both"/>
        <w:rPr>
          <w:rFonts w:ascii="Arial" w:hAnsi="Arial" w:cs="Arial"/>
          <w:sz w:val="20"/>
          <w:szCs w:val="20"/>
        </w:rPr>
      </w:pPr>
    </w:p>
    <w:p w14:paraId="6C8C2E48" w14:textId="3F0F72FC" w:rsidR="00426962" w:rsidRDefault="00426962" w:rsidP="00412BE2">
      <w:pPr>
        <w:spacing w:line="360" w:lineRule="auto"/>
        <w:jc w:val="both"/>
        <w:rPr>
          <w:rFonts w:ascii="Arial" w:hAnsi="Arial" w:cs="Arial"/>
          <w:sz w:val="20"/>
          <w:szCs w:val="20"/>
        </w:rPr>
      </w:pPr>
      <w:r>
        <w:rPr>
          <w:rFonts w:ascii="Arial" w:hAnsi="Arial" w:cs="Arial"/>
          <w:sz w:val="20"/>
          <w:szCs w:val="20"/>
        </w:rPr>
        <w:lastRenderedPageBreak/>
        <w:t>Lo que da un total de un total de 103 artículos dividido entre 5 años da un total de 20.6 artículos/año, al dividirlo por el número de PTC da un total de 1.47 artículos por profesor por año, dicho cociente se ha ido incrementando con el paso del tiempo, aún cuando no se ha alcanzado la meta de 2 artículos por profesor por año.</w:t>
      </w:r>
      <w:r w:rsidR="008F4D81">
        <w:rPr>
          <w:rFonts w:ascii="Arial" w:hAnsi="Arial" w:cs="Arial"/>
          <w:sz w:val="20"/>
          <w:szCs w:val="20"/>
        </w:rPr>
        <w:t xml:space="preserve"> Para ello es importante mantener los requisitos de al menos un artículo publicado o aceptado, como requisito para la obtención del grado de Doctor, junto con la publicación de un artículo de revisión, además de incrementar las fuentes de financiamiento requeridas para alcanzar los valores deseados en la tasa de publicación por profesor por año.</w:t>
      </w:r>
    </w:p>
    <w:p w14:paraId="58D86981" w14:textId="77777777" w:rsidR="00426962" w:rsidRDefault="00426962" w:rsidP="00412BE2">
      <w:pPr>
        <w:spacing w:line="360" w:lineRule="auto"/>
        <w:jc w:val="both"/>
        <w:rPr>
          <w:rFonts w:ascii="Arial" w:hAnsi="Arial" w:cs="Arial"/>
          <w:sz w:val="20"/>
          <w:szCs w:val="20"/>
        </w:rPr>
      </w:pPr>
    </w:p>
    <w:p w14:paraId="015462B1" w14:textId="77777777" w:rsidR="00426962" w:rsidRDefault="00426962" w:rsidP="00412BE2">
      <w:pPr>
        <w:spacing w:line="360" w:lineRule="auto"/>
        <w:jc w:val="both"/>
        <w:rPr>
          <w:rFonts w:ascii="Arial" w:hAnsi="Arial" w:cs="Arial"/>
          <w:sz w:val="20"/>
          <w:szCs w:val="20"/>
        </w:rPr>
      </w:pPr>
      <w:r>
        <w:rPr>
          <w:rFonts w:ascii="Arial" w:hAnsi="Arial" w:cs="Arial"/>
          <w:sz w:val="20"/>
          <w:szCs w:val="20"/>
        </w:rPr>
        <w:t xml:space="preserve">En el caso de la eficiencia terminal </w:t>
      </w:r>
    </w:p>
    <w:p w14:paraId="1D5AD833" w14:textId="77777777" w:rsidR="00412BE2" w:rsidRDefault="00412BE2" w:rsidP="00412BE2">
      <w:pPr>
        <w:spacing w:line="360" w:lineRule="auto"/>
        <w:jc w:val="both"/>
        <w:rPr>
          <w:rFonts w:ascii="Arial" w:hAnsi="Arial" w:cs="Arial"/>
          <w:sz w:val="20"/>
          <w:szCs w:val="20"/>
        </w:rPr>
      </w:pPr>
      <w:r w:rsidRPr="00D66A5B">
        <w:rPr>
          <w:rFonts w:ascii="Arial" w:hAnsi="Arial" w:cs="Arial"/>
          <w:sz w:val="20"/>
          <w:szCs w:val="20"/>
        </w:rPr>
        <w:t>La historia del programa de Doctorado en Ciencias en Ingeniería Bioquímica ha estado marcada por diferentes eventos que han motivado su desarrollo, de tal manera que en los primeros 5 años de existencia, el ingreso fue muy bajo, solo dos estudiantes, los cuales egresaron dentro del tiempo, que para ese entonces marcaba el programa (3 años). Las generaciones subsecuentes mostraban un ingreso pequeño, pero con una eficiencia de graduación de 100%, aun cuando el tiempo de obtención de grado se ralentizo, alcanzado un pico de 8.3 años. Sin embargo</w:t>
      </w:r>
      <w:r>
        <w:rPr>
          <w:rFonts w:ascii="Arial" w:hAnsi="Arial" w:cs="Arial"/>
          <w:sz w:val="20"/>
          <w:szCs w:val="20"/>
        </w:rPr>
        <w:t>,</w:t>
      </w:r>
      <w:r w:rsidRPr="00D66A5B">
        <w:rPr>
          <w:rFonts w:ascii="Arial" w:hAnsi="Arial" w:cs="Arial"/>
          <w:sz w:val="20"/>
          <w:szCs w:val="20"/>
        </w:rPr>
        <w:t xml:space="preserve"> a partir de la autorización del nuevo plan (2010, con enmienda en 2011), el tiempo de obtención de grado, se volvió </w:t>
      </w:r>
      <w:proofErr w:type="spellStart"/>
      <w:r w:rsidRPr="00D66A5B">
        <w:rPr>
          <w:rFonts w:ascii="Arial" w:hAnsi="Arial" w:cs="Arial"/>
          <w:sz w:val="20"/>
          <w:szCs w:val="20"/>
        </w:rPr>
        <w:t>mas</w:t>
      </w:r>
      <w:proofErr w:type="spellEnd"/>
      <w:r w:rsidRPr="00D66A5B">
        <w:rPr>
          <w:rFonts w:ascii="Arial" w:hAnsi="Arial" w:cs="Arial"/>
          <w:sz w:val="20"/>
          <w:szCs w:val="20"/>
        </w:rPr>
        <w:t xml:space="preserve"> homogéneo (alrededor de 4.27 años), lo cual se encuentra dentro del tiempo estipulado en el plan de estudio, </w:t>
      </w:r>
      <w:proofErr w:type="spellStart"/>
      <w:r w:rsidRPr="00D66A5B">
        <w:rPr>
          <w:rFonts w:ascii="Arial" w:hAnsi="Arial" w:cs="Arial"/>
          <w:sz w:val="20"/>
          <w:szCs w:val="20"/>
        </w:rPr>
        <w:t>mas</w:t>
      </w:r>
      <w:proofErr w:type="spellEnd"/>
      <w:r w:rsidRPr="00D66A5B">
        <w:rPr>
          <w:rFonts w:ascii="Arial" w:hAnsi="Arial" w:cs="Arial"/>
          <w:sz w:val="20"/>
          <w:szCs w:val="20"/>
        </w:rPr>
        <w:t xml:space="preserve"> un semestre, tal y como lo marca PNPC. Es necesario mencionar, que es justo con la implementación del nuevo plan, que ocurren dos fenómenos, un incremento en el ingreso de alumnos, pero también una disminución en la eficiencia, (llegando a 50%), la generación que ingreso en el 2014 (4 ingresos), uno de ellos recién acaba de obtener el grado (12 de abril de 2018) en tanto que otra estudiante, se encuentra iniciando sus trámites para la obtención del grado, esperando su graduación en Mayo de 2018, con lo que la eficiencia se ubicaría, para esa generación en 50%, lo que hace importante tomar acciones</w:t>
      </w:r>
      <w:r>
        <w:rPr>
          <w:rFonts w:ascii="Arial" w:hAnsi="Arial" w:cs="Arial"/>
          <w:sz w:val="20"/>
          <w:szCs w:val="20"/>
        </w:rPr>
        <w:t xml:space="preserve"> para retomar la buena eficiencia que se tenía, mediante la implementación del Sistema Integrado de Aseguramiento de la Calidad (SIAC), junto con un seguimiento de la trayectoria académica de los estudiantes (discutido en la carpeta respectiva) y un proceso de selección más riguroso (discutido en la carpeta respectiva)</w:t>
      </w:r>
    </w:p>
    <w:p w14:paraId="4124E356"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t>Pare efecto de visualizar las cifras antes mencionadas se incluyen las siguientes figuras:</w:t>
      </w:r>
    </w:p>
    <w:p w14:paraId="3F32322C" w14:textId="77777777" w:rsidR="00412BE2" w:rsidRDefault="00412BE2" w:rsidP="00412BE2">
      <w:pPr>
        <w:spacing w:line="360" w:lineRule="auto"/>
        <w:jc w:val="both"/>
        <w:rPr>
          <w:rFonts w:ascii="Arial" w:hAnsi="Arial" w:cs="Arial"/>
          <w:sz w:val="20"/>
          <w:szCs w:val="20"/>
        </w:rPr>
      </w:pPr>
    </w:p>
    <w:p w14:paraId="03BB8E91"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t>La Figura 1, muestra los años requeridos para la obtención del grado, en donde, como se mencionó, la implementación del Nuevo plan de estudios, mejoró los años requeridos para la obtención del grado.</w:t>
      </w:r>
    </w:p>
    <w:p w14:paraId="4D58F637" w14:textId="77777777" w:rsidR="00412BE2" w:rsidRDefault="00412BE2" w:rsidP="00412BE2">
      <w:pPr>
        <w:spacing w:line="360" w:lineRule="auto"/>
        <w:jc w:val="both"/>
        <w:rPr>
          <w:rFonts w:ascii="Arial" w:hAnsi="Arial" w:cs="Arial"/>
          <w:sz w:val="20"/>
          <w:szCs w:val="20"/>
        </w:rPr>
      </w:pPr>
    </w:p>
    <w:p w14:paraId="68EA75E4"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lastRenderedPageBreak/>
        <w:t>La Figura 2, muestra la eficiencia terminal por generación anual, en donde, se aprecia que la implementación del nuevo plan mejoró los años requeridos para obtener el grado, pero disminuyó la eficiencia terminal, la cual anteriormente era muy elevada (cercana al 100%)</w:t>
      </w:r>
    </w:p>
    <w:p w14:paraId="05B9AAD6" w14:textId="77777777" w:rsidR="00412BE2" w:rsidRDefault="00412BE2" w:rsidP="00412BE2">
      <w:pPr>
        <w:spacing w:line="360" w:lineRule="auto"/>
        <w:jc w:val="both"/>
        <w:rPr>
          <w:rFonts w:ascii="Arial" w:hAnsi="Arial" w:cs="Arial"/>
          <w:sz w:val="20"/>
          <w:szCs w:val="20"/>
        </w:rPr>
      </w:pPr>
    </w:p>
    <w:p w14:paraId="3EDB82A6"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t xml:space="preserve">La Figura 3, muestra, que </w:t>
      </w:r>
      <w:proofErr w:type="gramStart"/>
      <w:r>
        <w:rPr>
          <w:rFonts w:ascii="Arial" w:hAnsi="Arial" w:cs="Arial"/>
          <w:sz w:val="20"/>
          <w:szCs w:val="20"/>
        </w:rPr>
        <w:t>en  términos</w:t>
      </w:r>
      <w:proofErr w:type="gramEnd"/>
      <w:r>
        <w:rPr>
          <w:rFonts w:ascii="Arial" w:hAnsi="Arial" w:cs="Arial"/>
          <w:sz w:val="20"/>
          <w:szCs w:val="20"/>
        </w:rPr>
        <w:t xml:space="preserve"> generales, un incremento en la captación de estudiantes, es importante mencionar que los datos del 2018, son parciales ya que el ingreso es semestral y solo se considera los datos del primer semestre.</w:t>
      </w:r>
    </w:p>
    <w:p w14:paraId="062FE8E9" w14:textId="77777777" w:rsidR="00412BE2" w:rsidRDefault="00412BE2" w:rsidP="00412BE2">
      <w:pPr>
        <w:spacing w:line="360" w:lineRule="auto"/>
        <w:jc w:val="both"/>
        <w:rPr>
          <w:rFonts w:ascii="Arial" w:hAnsi="Arial" w:cs="Arial"/>
          <w:sz w:val="20"/>
          <w:szCs w:val="20"/>
        </w:rPr>
      </w:pPr>
    </w:p>
    <w:p w14:paraId="7706D482" w14:textId="77777777" w:rsidR="00412BE2" w:rsidRDefault="00412BE2" w:rsidP="00412BE2">
      <w:pPr>
        <w:spacing w:line="360" w:lineRule="auto"/>
        <w:jc w:val="both"/>
        <w:rPr>
          <w:rFonts w:ascii="Arial" w:hAnsi="Arial" w:cs="Arial"/>
          <w:sz w:val="20"/>
          <w:szCs w:val="20"/>
        </w:rPr>
      </w:pPr>
      <w:r>
        <w:rPr>
          <w:rFonts w:ascii="Arial" w:hAnsi="Arial" w:cs="Arial"/>
          <w:noProof/>
          <w:sz w:val="20"/>
          <w:szCs w:val="20"/>
        </w:rPr>
        <w:drawing>
          <wp:inline distT="0" distB="0" distL="0" distR="0" wp14:anchorId="3C448D08" wp14:editId="2CE333EA">
            <wp:extent cx="4508390" cy="3383944"/>
            <wp:effectExtent l="0" t="0" r="698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terminal1.tif"/>
                    <pic:cNvPicPr/>
                  </pic:nvPicPr>
                  <pic:blipFill>
                    <a:blip r:embed="rId5">
                      <a:extLst>
                        <a:ext uri="{28A0092B-C50C-407E-A947-70E740481C1C}">
                          <a14:useLocalDpi xmlns:a14="http://schemas.microsoft.com/office/drawing/2010/main" val="0"/>
                        </a:ext>
                      </a:extLst>
                    </a:blip>
                    <a:stretch>
                      <a:fillRect/>
                    </a:stretch>
                  </pic:blipFill>
                  <pic:spPr>
                    <a:xfrm>
                      <a:off x="0" y="0"/>
                      <a:ext cx="4613011" cy="3462471"/>
                    </a:xfrm>
                    <a:prstGeom prst="rect">
                      <a:avLst/>
                    </a:prstGeom>
                  </pic:spPr>
                </pic:pic>
              </a:graphicData>
            </a:graphic>
          </wp:inline>
        </w:drawing>
      </w:r>
    </w:p>
    <w:p w14:paraId="5C138353"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t>Figura 1. Años requeridos para la obtención de grado por generación anual</w:t>
      </w:r>
    </w:p>
    <w:p w14:paraId="73A1E9FB" w14:textId="77777777" w:rsidR="00412BE2" w:rsidRDefault="00412BE2" w:rsidP="00412BE2">
      <w:pPr>
        <w:spacing w:line="360" w:lineRule="auto"/>
        <w:jc w:val="both"/>
        <w:rPr>
          <w:rFonts w:ascii="Arial" w:hAnsi="Arial" w:cs="Arial"/>
          <w:sz w:val="20"/>
          <w:szCs w:val="20"/>
        </w:rPr>
      </w:pPr>
    </w:p>
    <w:p w14:paraId="259A326E" w14:textId="77777777" w:rsidR="00412BE2" w:rsidRDefault="00412BE2" w:rsidP="00412BE2">
      <w:pPr>
        <w:spacing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234B60D7" wp14:editId="1DCEE0DD">
            <wp:extent cx="4564049" cy="3425723"/>
            <wp:effectExtent l="0" t="0" r="825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terminal2.tif"/>
                    <pic:cNvPicPr/>
                  </pic:nvPicPr>
                  <pic:blipFill>
                    <a:blip r:embed="rId6">
                      <a:extLst>
                        <a:ext uri="{28A0092B-C50C-407E-A947-70E740481C1C}">
                          <a14:useLocalDpi xmlns:a14="http://schemas.microsoft.com/office/drawing/2010/main" val="0"/>
                        </a:ext>
                      </a:extLst>
                    </a:blip>
                    <a:stretch>
                      <a:fillRect/>
                    </a:stretch>
                  </pic:blipFill>
                  <pic:spPr>
                    <a:xfrm>
                      <a:off x="0" y="0"/>
                      <a:ext cx="4631890" cy="3476644"/>
                    </a:xfrm>
                    <a:prstGeom prst="rect">
                      <a:avLst/>
                    </a:prstGeom>
                  </pic:spPr>
                </pic:pic>
              </a:graphicData>
            </a:graphic>
          </wp:inline>
        </w:drawing>
      </w:r>
    </w:p>
    <w:p w14:paraId="278D5D56" w14:textId="77777777" w:rsidR="00412BE2" w:rsidRDefault="00412BE2" w:rsidP="00412BE2">
      <w:pPr>
        <w:spacing w:line="360" w:lineRule="auto"/>
        <w:jc w:val="both"/>
        <w:rPr>
          <w:rFonts w:ascii="Arial" w:hAnsi="Arial" w:cs="Arial"/>
          <w:sz w:val="20"/>
          <w:szCs w:val="20"/>
        </w:rPr>
      </w:pPr>
      <w:r>
        <w:rPr>
          <w:rFonts w:ascii="Arial" w:hAnsi="Arial" w:cs="Arial"/>
          <w:sz w:val="20"/>
          <w:szCs w:val="20"/>
        </w:rPr>
        <w:t>Figura 2. Eficiencia terminal por generación anual.</w:t>
      </w:r>
    </w:p>
    <w:p w14:paraId="754268A2" w14:textId="77777777" w:rsidR="00412BE2" w:rsidRDefault="00412BE2" w:rsidP="00412BE2">
      <w:pPr>
        <w:spacing w:line="360" w:lineRule="auto"/>
        <w:jc w:val="both"/>
        <w:rPr>
          <w:rFonts w:ascii="Arial" w:hAnsi="Arial" w:cs="Arial"/>
          <w:sz w:val="20"/>
          <w:szCs w:val="20"/>
        </w:rPr>
      </w:pPr>
      <w:bookmarkStart w:id="0" w:name="_GoBack"/>
      <w:bookmarkEnd w:id="0"/>
    </w:p>
    <w:p w14:paraId="0FB4F821" w14:textId="77777777" w:rsidR="00412BE2" w:rsidRDefault="00412BE2" w:rsidP="00412BE2">
      <w:pPr>
        <w:spacing w:line="360" w:lineRule="auto"/>
        <w:jc w:val="both"/>
        <w:rPr>
          <w:rFonts w:ascii="Arial" w:hAnsi="Arial" w:cs="Arial"/>
          <w:sz w:val="20"/>
          <w:szCs w:val="20"/>
        </w:rPr>
      </w:pPr>
      <w:r>
        <w:rPr>
          <w:rFonts w:ascii="Arial" w:hAnsi="Arial" w:cs="Arial"/>
          <w:noProof/>
          <w:sz w:val="20"/>
          <w:szCs w:val="20"/>
        </w:rPr>
        <w:drawing>
          <wp:inline distT="0" distB="0" distL="0" distR="0" wp14:anchorId="24954013" wp14:editId="0CC7DED0">
            <wp:extent cx="4579952" cy="34376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fterminal3.tif"/>
                    <pic:cNvPicPr/>
                  </pic:nvPicPr>
                  <pic:blipFill>
                    <a:blip r:embed="rId7">
                      <a:extLst>
                        <a:ext uri="{28A0092B-C50C-407E-A947-70E740481C1C}">
                          <a14:useLocalDpi xmlns:a14="http://schemas.microsoft.com/office/drawing/2010/main" val="0"/>
                        </a:ext>
                      </a:extLst>
                    </a:blip>
                    <a:stretch>
                      <a:fillRect/>
                    </a:stretch>
                  </pic:blipFill>
                  <pic:spPr>
                    <a:xfrm>
                      <a:off x="0" y="0"/>
                      <a:ext cx="4685592" cy="3516949"/>
                    </a:xfrm>
                    <a:prstGeom prst="rect">
                      <a:avLst/>
                    </a:prstGeom>
                  </pic:spPr>
                </pic:pic>
              </a:graphicData>
            </a:graphic>
          </wp:inline>
        </w:drawing>
      </w:r>
    </w:p>
    <w:p w14:paraId="2C9FC568" w14:textId="77777777" w:rsidR="00412BE2" w:rsidRPr="00706C98" w:rsidRDefault="00412BE2" w:rsidP="00412BE2">
      <w:pPr>
        <w:spacing w:line="360" w:lineRule="auto"/>
        <w:jc w:val="both"/>
        <w:rPr>
          <w:rFonts w:ascii="Arial" w:hAnsi="Arial" w:cs="Arial"/>
          <w:sz w:val="20"/>
          <w:szCs w:val="20"/>
        </w:rPr>
      </w:pPr>
      <w:r>
        <w:rPr>
          <w:rFonts w:ascii="Arial" w:hAnsi="Arial" w:cs="Arial"/>
          <w:sz w:val="20"/>
          <w:szCs w:val="20"/>
        </w:rPr>
        <w:t>Figura 3. Ingreso anual al programa de Doctorado en Ciencias en Ingeniería Bioquímica.</w:t>
      </w:r>
    </w:p>
    <w:sectPr w:rsidR="00412BE2" w:rsidRPr="00706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248"/>
    <w:multiLevelType w:val="hybridMultilevel"/>
    <w:tmpl w:val="07441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59309F"/>
    <w:multiLevelType w:val="hybridMultilevel"/>
    <w:tmpl w:val="C316D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F9"/>
    <w:rsid w:val="00053326"/>
    <w:rsid w:val="000620AD"/>
    <w:rsid w:val="000725DB"/>
    <w:rsid w:val="002868F9"/>
    <w:rsid w:val="003C427B"/>
    <w:rsid w:val="00412BE2"/>
    <w:rsid w:val="00426962"/>
    <w:rsid w:val="00666189"/>
    <w:rsid w:val="00706C98"/>
    <w:rsid w:val="008373E5"/>
    <w:rsid w:val="008F4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6323"/>
  <w15:chartTrackingRefBased/>
  <w15:docId w15:val="{8BC176C8-7776-4A89-82FD-5D724EBF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8F9"/>
    <w:pPr>
      <w:ind w:left="720"/>
      <w:contextualSpacing/>
    </w:pPr>
  </w:style>
  <w:style w:type="table" w:styleId="Tablaconcuadrcula">
    <w:name w:val="Table Grid"/>
    <w:basedOn w:val="Tablanormal"/>
    <w:uiPriority w:val="39"/>
    <w:rsid w:val="0070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5"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2</cp:revision>
  <cp:lastPrinted>2018-05-01T22:25:00Z</cp:lastPrinted>
  <dcterms:created xsi:type="dcterms:W3CDTF">2018-05-01T22:42:00Z</dcterms:created>
  <dcterms:modified xsi:type="dcterms:W3CDTF">2018-05-01T22:42:00Z</dcterms:modified>
</cp:coreProperties>
</file>